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E1" w:rsidRDefault="00DF713B" w:rsidP="00C66C15">
      <w:pPr>
        <w:ind w:firstLine="0"/>
        <w:jc w:val="center"/>
        <w:rPr>
          <w:rFonts w:ascii="MS Reference Sans Serif" w:hAnsi="MS Reference Sans Serif"/>
          <w:sz w:val="24"/>
          <w:szCs w:val="24"/>
        </w:rPr>
      </w:pPr>
      <w:r w:rsidRPr="00DF713B">
        <w:rPr>
          <w:rFonts w:ascii="MS Reference Sans Serif" w:hAnsi="MS Reference Sans Serif"/>
          <w:bCs/>
          <w:sz w:val="24"/>
          <w:szCs w:val="24"/>
        </w:rPr>
        <w:t>Risk Adversity</w:t>
      </w:r>
      <w:r w:rsidRPr="00DF713B">
        <w:rPr>
          <w:rFonts w:ascii="MS Reference Sans Serif" w:hAnsi="MS Reference Sans Serif"/>
          <w:sz w:val="24"/>
          <w:szCs w:val="24"/>
        </w:rPr>
        <w:t xml:space="preserve"> by Colette Martin</w:t>
      </w:r>
    </w:p>
    <w:p w:rsidR="00DF713B" w:rsidRDefault="00DF713B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p w:rsidR="00DF713B" w:rsidRDefault="009B420F" w:rsidP="00C66C15">
      <w:pPr>
        <w:spacing w:line="480" w:lineRule="auto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There are two main risks for the new Amway Center.  One that has been previously mentioned are the bonds used to finance the arena </w:t>
      </w:r>
      <w:proofErr w:type="gramStart"/>
      <w:r>
        <w:rPr>
          <w:rFonts w:ascii="MS Reference Sans Serif" w:hAnsi="MS Reference Sans Serif"/>
          <w:sz w:val="24"/>
          <w:szCs w:val="24"/>
        </w:rPr>
        <w:t>have</w:t>
      </w:r>
      <w:proofErr w:type="gramEnd"/>
      <w:r>
        <w:rPr>
          <w:rFonts w:ascii="MS Reference Sans Serif" w:hAnsi="MS Reference Sans Serif"/>
          <w:sz w:val="24"/>
          <w:szCs w:val="24"/>
        </w:rPr>
        <w:t xml:space="preserve"> been downgraded to “junk” status.  With this downgrade, the possibility of losing the center to bankruptcy is high and very possible in just a few years.</w:t>
      </w:r>
    </w:p>
    <w:p w:rsidR="005F1C89" w:rsidRDefault="009B420F" w:rsidP="00C66C15">
      <w:pPr>
        <w:spacing w:line="480" w:lineRule="auto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The other main risk is that in order to sustain the economic boon to the area and to be able to maintain the new Amway Center, t</w:t>
      </w:r>
      <w:r w:rsidR="00FB55A4">
        <w:rPr>
          <w:rFonts w:ascii="MS Reference Sans Serif" w:hAnsi="MS Reference Sans Serif"/>
          <w:sz w:val="24"/>
          <w:szCs w:val="24"/>
        </w:rPr>
        <w:t>hey have to be able to</w:t>
      </w:r>
      <w:r>
        <w:rPr>
          <w:rFonts w:ascii="MS Reference Sans Serif" w:hAnsi="MS Reference Sans Serif"/>
          <w:sz w:val="24"/>
          <w:szCs w:val="24"/>
        </w:rPr>
        <w:t xml:space="preserve"> book</w:t>
      </w:r>
      <w:r w:rsidR="005F1C89">
        <w:rPr>
          <w:rFonts w:ascii="MS Reference Sans Serif" w:hAnsi="MS Reference Sans Serif"/>
          <w:sz w:val="24"/>
          <w:szCs w:val="24"/>
        </w:rPr>
        <w:t xml:space="preserve"> high profile </w:t>
      </w:r>
      <w:r>
        <w:rPr>
          <w:rFonts w:ascii="MS Reference Sans Serif" w:hAnsi="MS Reference Sans Serif"/>
          <w:sz w:val="24"/>
          <w:szCs w:val="24"/>
        </w:rPr>
        <w:t>events and performances that will draw large numbers of consumers.</w:t>
      </w:r>
      <w:r w:rsidR="00FB55A4">
        <w:rPr>
          <w:rFonts w:ascii="MS Reference Sans Serif" w:hAnsi="MS Reference Sans Serif"/>
          <w:sz w:val="24"/>
          <w:szCs w:val="24"/>
        </w:rPr>
        <w:t xml:space="preserve">  The Orlando Magic only play in the arena during basketball season – 82 regular season games in a period of approximately 9 months.  Only half of those are played at home, so the arena will only host 41 games.  With that stated, that is 324 days in a year that other events and performances must be scheduled.  As of now, only </w:t>
      </w:r>
      <w:r w:rsidR="005F1C89">
        <w:rPr>
          <w:rFonts w:ascii="MS Reference Sans Serif" w:hAnsi="MS Reference Sans Serif"/>
          <w:sz w:val="24"/>
          <w:szCs w:val="24"/>
        </w:rPr>
        <w:t>10</w:t>
      </w:r>
      <w:r w:rsidR="00FB55A4">
        <w:rPr>
          <w:rFonts w:ascii="MS Reference Sans Serif" w:hAnsi="MS Reference Sans Serif"/>
          <w:sz w:val="24"/>
          <w:szCs w:val="24"/>
        </w:rPr>
        <w:t xml:space="preserve"> </w:t>
      </w:r>
      <w:r w:rsidR="005F1C89">
        <w:rPr>
          <w:rFonts w:ascii="MS Reference Sans Serif" w:hAnsi="MS Reference Sans Serif"/>
          <w:sz w:val="24"/>
          <w:szCs w:val="24"/>
        </w:rPr>
        <w:t>events</w:t>
      </w:r>
      <w:r w:rsidR="00FB55A4">
        <w:rPr>
          <w:rFonts w:ascii="MS Reference Sans Serif" w:hAnsi="MS Reference Sans Serif"/>
          <w:sz w:val="24"/>
          <w:szCs w:val="24"/>
        </w:rPr>
        <w:t xml:space="preserve"> in the month of December</w:t>
      </w:r>
      <w:r w:rsidR="005F1C89">
        <w:rPr>
          <w:rFonts w:ascii="MS Reference Sans Serif" w:hAnsi="MS Reference Sans Serif"/>
          <w:sz w:val="24"/>
          <w:szCs w:val="24"/>
        </w:rPr>
        <w:t>, 16 events in January and only 9 events in February have been</w:t>
      </w:r>
      <w:r w:rsidR="00FB55A4">
        <w:rPr>
          <w:rFonts w:ascii="MS Reference Sans Serif" w:hAnsi="MS Reference Sans Serif"/>
          <w:sz w:val="24"/>
          <w:szCs w:val="24"/>
        </w:rPr>
        <w:t xml:space="preserve"> scheduled</w:t>
      </w:r>
      <w:r w:rsidR="005F1C89">
        <w:rPr>
          <w:rFonts w:ascii="MS Reference Sans Serif" w:hAnsi="MS Reference Sans Serif"/>
          <w:sz w:val="24"/>
          <w:szCs w:val="24"/>
        </w:rPr>
        <w:t xml:space="preserve"> as shown below:</w:t>
      </w:r>
    </w:p>
    <w:p w:rsidR="005F1C89" w:rsidRDefault="005F1C89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p w:rsidR="005F1C89" w:rsidRDefault="009826B4" w:rsidP="00DF713B">
      <w:pPr>
        <w:ind w:firstLine="0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noProof/>
          <w:sz w:val="24"/>
          <w:szCs w:val="24"/>
        </w:rPr>
        <w:lastRenderedPageBreak/>
        <w:drawing>
          <wp:inline distT="0" distB="0" distL="0" distR="0">
            <wp:extent cx="6029325" cy="2600325"/>
            <wp:effectExtent l="38100" t="1905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F1C89" w:rsidRDefault="005F1C89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p w:rsidR="005F1C89" w:rsidRDefault="005F1C89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p w:rsidR="009B420F" w:rsidRDefault="005F1C89" w:rsidP="00C66C15">
      <w:pPr>
        <w:spacing w:line="480" w:lineRule="auto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Unfortunately, only time will tell if they are able to</w:t>
      </w:r>
      <w:r w:rsidR="00C66C15">
        <w:rPr>
          <w:rFonts w:ascii="MS Reference Sans Serif" w:hAnsi="MS Reference Sans Serif"/>
          <w:sz w:val="24"/>
          <w:szCs w:val="24"/>
        </w:rPr>
        <w:t xml:space="preserve"> attract the events and performances that will be needed to run their facility at a profit and continue to bring business to the area.</w:t>
      </w:r>
      <w:r>
        <w:rPr>
          <w:rFonts w:ascii="MS Reference Sans Serif" w:hAnsi="MS Reference Sans Serif"/>
          <w:sz w:val="24"/>
          <w:szCs w:val="24"/>
        </w:rPr>
        <w:t xml:space="preserve">   </w:t>
      </w:r>
    </w:p>
    <w:p w:rsidR="00C66C15" w:rsidRDefault="00C66C15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p w:rsidR="00C66C15" w:rsidRDefault="00C66C15" w:rsidP="00DF713B">
      <w:pPr>
        <w:ind w:firstLine="0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Works Cited:</w:t>
      </w:r>
    </w:p>
    <w:p w:rsidR="00C66C15" w:rsidRDefault="00C66C15" w:rsidP="00DF713B">
      <w:pPr>
        <w:ind w:firstLine="0"/>
        <w:rPr>
          <w:rFonts w:ascii="MS Reference Sans Serif" w:hAnsi="MS Reference Sans Serif"/>
          <w:sz w:val="24"/>
          <w:szCs w:val="24"/>
        </w:rPr>
      </w:pPr>
      <w:hyperlink r:id="rId5" w:history="1">
        <w:r w:rsidRPr="00590C1F">
          <w:rPr>
            <w:rStyle w:val="Hyperlink"/>
            <w:rFonts w:ascii="MS Reference Sans Serif" w:hAnsi="MS Reference Sans Serif"/>
            <w:sz w:val="24"/>
            <w:szCs w:val="24"/>
          </w:rPr>
          <w:t>http://amwaycenter.com/concerts-and-events</w:t>
        </w:r>
      </w:hyperlink>
    </w:p>
    <w:p w:rsidR="00C66C15" w:rsidRPr="00DF713B" w:rsidRDefault="00C66C15" w:rsidP="00DF713B">
      <w:pPr>
        <w:ind w:firstLine="0"/>
        <w:rPr>
          <w:rFonts w:ascii="MS Reference Sans Serif" w:hAnsi="MS Reference Sans Serif"/>
          <w:sz w:val="24"/>
          <w:szCs w:val="24"/>
        </w:rPr>
      </w:pPr>
    </w:p>
    <w:sectPr w:rsidR="00C66C15" w:rsidRPr="00DF713B" w:rsidSect="00B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F713B"/>
    <w:rsid w:val="005F1C89"/>
    <w:rsid w:val="006248FE"/>
    <w:rsid w:val="009826B4"/>
    <w:rsid w:val="009B420F"/>
    <w:rsid w:val="00AB51E6"/>
    <w:rsid w:val="00BC35E1"/>
    <w:rsid w:val="00C66C15"/>
    <w:rsid w:val="00D6778B"/>
    <w:rsid w:val="00DF713B"/>
    <w:rsid w:val="00E026A7"/>
    <w:rsid w:val="00FB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6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mwaycenter.com/concerts-and-events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Concerts/Shows</c:v>
                </c:pt>
              </c:strCache>
            </c:strRef>
          </c:tx>
          <c:cat>
            <c:numRef>
              <c:f>Sheet1!$A$2:$A$4</c:f>
              <c:numCache>
                <c:formatCode>[$-409]mmmm\-yy;@</c:formatCode>
                <c:ptCount val="3"/>
                <c:pt idx="0">
                  <c:v>40513</c:v>
                </c:pt>
                <c:pt idx="1">
                  <c:v>40544</c:v>
                </c:pt>
                <c:pt idx="2">
                  <c:v>40575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Family Events</c:v>
                </c:pt>
              </c:strCache>
            </c:strRef>
          </c:tx>
          <c:cat>
            <c:numRef>
              <c:f>Sheet1!$A$2:$A$4</c:f>
              <c:numCache>
                <c:formatCode>[$-409]mmmm\-yy;@</c:formatCode>
                <c:ptCount val="3"/>
                <c:pt idx="0">
                  <c:v>40513</c:v>
                </c:pt>
                <c:pt idx="1">
                  <c:v>40544</c:v>
                </c:pt>
                <c:pt idx="2">
                  <c:v>40575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Sports</c:v>
                </c:pt>
              </c:strCache>
            </c:strRef>
          </c:tx>
          <c:cat>
            <c:numRef>
              <c:f>Sheet1!$A$2:$A$4</c:f>
              <c:numCache>
                <c:formatCode>[$-409]mmmm\-yy;@</c:formatCode>
                <c:ptCount val="3"/>
                <c:pt idx="0">
                  <c:v>40513</c:v>
                </c:pt>
                <c:pt idx="1">
                  <c:v>40544</c:v>
                </c:pt>
                <c:pt idx="2">
                  <c:v>40575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bubble3D val="1"/>
        </c:ser>
        <c:overlap val="100"/>
        <c:axId val="116262784"/>
        <c:axId val="116264320"/>
      </c:barChart>
      <c:dateAx>
        <c:axId val="116262784"/>
        <c:scaling>
          <c:orientation val="minMax"/>
        </c:scaling>
        <c:axPos val="b"/>
        <c:numFmt formatCode="[$-409]mmmm\-yy;@" sourceLinked="1"/>
        <c:tickLblPos val="nextTo"/>
        <c:crossAx val="116264320"/>
        <c:crosses val="autoZero"/>
        <c:auto val="1"/>
        <c:lblOffset val="100"/>
      </c:dateAx>
      <c:valAx>
        <c:axId val="116264320"/>
        <c:scaling>
          <c:orientation val="minMax"/>
        </c:scaling>
        <c:axPos val="l"/>
        <c:majorGridlines/>
        <c:numFmt formatCode="General" sourceLinked="1"/>
        <c:tickLblPos val="nextTo"/>
        <c:crossAx val="116262784"/>
        <c:crosses val="autoZero"/>
        <c:crossBetween val="between"/>
      </c:valAx>
      <c:spPr>
        <a:ln w="19050"/>
      </c:spPr>
    </c:plotArea>
    <c:legend>
      <c:legendPos val="r"/>
    </c:legend>
    <c:plotVisOnly val="1"/>
  </c:chart>
  <c:spPr>
    <a:solidFill>
      <a:schemeClr val="lt1"/>
    </a:solidFill>
    <a:ln w="28575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4</cp:revision>
  <dcterms:created xsi:type="dcterms:W3CDTF">2010-11-21T19:02:00Z</dcterms:created>
  <dcterms:modified xsi:type="dcterms:W3CDTF">2010-11-21T19:55:00Z</dcterms:modified>
</cp:coreProperties>
</file>